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u w:val="single"/>
        </w:rPr>
      </w:pPr>
      <w:r>
        <w:rPr>
          <w:b w:val="1"/>
          <w:bCs w:val="1"/>
          <w:sz w:val="28"/>
          <w:szCs w:val="28"/>
          <w:u w:val="single"/>
          <w:rtl w:val="0"/>
          <w:lang w:val="en-US"/>
        </w:rPr>
        <w:t xml:space="preserve">Facts About LD 476 </w:t>
      </w:r>
      <w:r>
        <w:rPr>
          <w:b w:val="1"/>
          <w:bCs w:val="1"/>
          <w:sz w:val="28"/>
          <w:szCs w:val="28"/>
          <w:u w:val="single"/>
          <w:rtl w:val="0"/>
          <w:lang w:val="en-US"/>
        </w:rPr>
        <w:t>An Act To Provide Licensed Assisted Living and Nursing Facilities Levels of Care for Incarcerated Persons</w:t>
      </w:r>
    </w:p>
    <w:p>
      <w:pPr>
        <w:pStyle w:val="Body"/>
        <w:jc w:val="center"/>
        <w:rPr>
          <w:b w:val="1"/>
          <w:bCs w:val="1"/>
          <w:sz w:val="28"/>
          <w:szCs w:val="28"/>
          <w:u w:val="single"/>
        </w:rPr>
      </w:pPr>
    </w:p>
    <w:p>
      <w:pPr>
        <w:pStyle w:val="Body"/>
        <w:numPr>
          <w:ilvl w:val="0"/>
          <w:numId w:val="2"/>
        </w:numPr>
        <w:jc w:val="left"/>
        <w:rPr>
          <w:sz w:val="24"/>
          <w:szCs w:val="24"/>
          <w:lang w:val="en-US"/>
        </w:rPr>
      </w:pPr>
      <w:r>
        <w:rPr>
          <w:sz w:val="24"/>
          <w:szCs w:val="24"/>
          <w:rtl w:val="0"/>
          <w:lang w:val="en-US"/>
        </w:rPr>
        <w:t>We should not be locking up nursing home patients. Nor should the Department of Corrections be competing with nursing home facilities in the community.</w:t>
      </w:r>
    </w:p>
    <w:p>
      <w:pPr>
        <w:pStyle w:val="Body"/>
        <w:numPr>
          <w:ilvl w:val="0"/>
          <w:numId w:val="2"/>
        </w:numPr>
        <w:jc w:val="left"/>
        <w:rPr>
          <w:sz w:val="24"/>
          <w:szCs w:val="24"/>
          <w:lang w:val="en-US"/>
        </w:rPr>
      </w:pPr>
      <w:r>
        <w:rPr>
          <w:sz w:val="24"/>
          <w:szCs w:val="24"/>
          <w:rtl w:val="0"/>
          <w:lang w:val="en-US"/>
        </w:rPr>
        <w:t>There is no death penalty in Maine. Yet t</w:t>
      </w:r>
      <w:r>
        <w:rPr>
          <w:sz w:val="24"/>
          <w:szCs w:val="24"/>
          <w:rtl w:val="0"/>
          <w:lang w:val="en-US"/>
        </w:rPr>
        <w:t>here are many who will nonetheless, come to the end of their life while incarcerated.</w:t>
      </w:r>
    </w:p>
    <w:p>
      <w:pPr>
        <w:pStyle w:val="Body"/>
        <w:numPr>
          <w:ilvl w:val="0"/>
          <w:numId w:val="2"/>
        </w:numPr>
        <w:jc w:val="left"/>
        <w:rPr>
          <w:sz w:val="24"/>
          <w:szCs w:val="24"/>
          <w:lang w:val="en-US"/>
        </w:rPr>
      </w:pPr>
      <w:r>
        <w:rPr>
          <w:rFonts w:ascii="Times Roman" w:hAnsi="Times Roman"/>
          <w:sz w:val="24"/>
          <w:szCs w:val="24"/>
          <w:rtl w:val="0"/>
          <w:lang w:val="en-US"/>
        </w:rPr>
        <w:t>Current MDOC policy</w:t>
      </w:r>
      <w:r>
        <w:rPr>
          <w:rFonts w:ascii="Times Roman" w:hAnsi="Times Roman" w:hint="default"/>
          <w:sz w:val="24"/>
          <w:szCs w:val="24"/>
          <w:rtl w:val="0"/>
        </w:rPr>
        <w:t> </w:t>
      </w:r>
      <w:r>
        <w:rPr>
          <w:sz w:val="24"/>
          <w:szCs w:val="24"/>
          <w:rtl w:val="0"/>
          <w:lang w:val="en-US"/>
        </w:rPr>
        <w:t>27.2 Supervised Community Confinement</w:t>
      </w:r>
      <w:r>
        <w:rPr>
          <w:sz w:val="24"/>
          <w:szCs w:val="24"/>
          <w:rtl w:val="0"/>
        </w:rPr>
        <w:t> </w:t>
      </w:r>
      <w:r>
        <w:rPr>
          <w:rFonts w:ascii="Arial" w:hAnsi="Arial"/>
          <w:b w:val="1"/>
          <w:bCs w:val="1"/>
          <w:sz w:val="24"/>
          <w:szCs w:val="24"/>
          <w:rtl w:val="0"/>
          <w:lang w:val="en-US"/>
        </w:rPr>
        <w:t>Procedure I: Supervised Community Confinement for a Terminally Ill or</w:t>
      </w:r>
      <w:r>
        <w:rPr>
          <w:rFonts w:ascii="Arial" w:hAnsi="Arial" w:hint="default"/>
          <w:b w:val="1"/>
          <w:bCs w:val="1"/>
          <w:sz w:val="24"/>
          <w:szCs w:val="24"/>
          <w:rtl w:val="0"/>
        </w:rPr>
        <w:t> </w:t>
      </w:r>
      <w:r>
        <w:rPr>
          <w:rFonts w:ascii="Arial" w:hAnsi="Arial"/>
          <w:b w:val="1"/>
          <w:bCs w:val="1"/>
          <w:sz w:val="24"/>
          <w:szCs w:val="24"/>
          <w:rtl w:val="0"/>
          <w:lang w:val="en-US"/>
        </w:rPr>
        <w:t>Severely Incapacitated Prisoner</w:t>
      </w:r>
      <w:r>
        <w:rPr>
          <w:rFonts w:ascii="Arial" w:hAnsi="Arial" w:hint="default"/>
          <w:b w:val="1"/>
          <w:bCs w:val="1"/>
          <w:sz w:val="24"/>
          <w:szCs w:val="24"/>
          <w:rtl w:val="0"/>
        </w:rPr>
        <w:t> </w:t>
      </w:r>
      <w:r>
        <w:rPr>
          <w:sz w:val="24"/>
          <w:szCs w:val="24"/>
          <w:rtl w:val="0"/>
          <w:lang w:val="en-US"/>
        </w:rPr>
        <w:t>allows for the confinement of terminally ill</w:t>
      </w:r>
      <w:r>
        <w:rPr>
          <w:sz w:val="24"/>
          <w:szCs w:val="24"/>
          <w:rtl w:val="0"/>
          <w:lang w:val="en-US"/>
        </w:rPr>
        <w:t xml:space="preserve"> inmates</w:t>
      </w:r>
      <w:r>
        <w:rPr>
          <w:sz w:val="24"/>
          <w:szCs w:val="24"/>
          <w:rtl w:val="0"/>
          <w:lang w:val="en-US"/>
        </w:rPr>
        <w:t xml:space="preserve"> or </w:t>
      </w:r>
      <w:r>
        <w:rPr>
          <w:sz w:val="24"/>
          <w:szCs w:val="24"/>
          <w:rtl w:val="0"/>
          <w:lang w:val="en-US"/>
        </w:rPr>
        <w:t xml:space="preserve">inmates with a </w:t>
      </w:r>
      <w:r>
        <w:rPr>
          <w:sz w:val="24"/>
          <w:szCs w:val="24"/>
          <w:rtl w:val="0"/>
          <w:lang w:val="en-US"/>
        </w:rPr>
        <w:t>severely incapacitating medical condition</w:t>
      </w:r>
      <w:r>
        <w:rPr>
          <w:sz w:val="24"/>
          <w:szCs w:val="24"/>
          <w:rtl w:val="0"/>
          <w:lang w:val="en-US"/>
        </w:rPr>
        <w:t xml:space="preserve"> </w:t>
      </w:r>
      <w:r>
        <w:rPr>
          <w:sz w:val="24"/>
          <w:szCs w:val="24"/>
          <w:rtl w:val="0"/>
          <w:lang w:val="en-US"/>
        </w:rPr>
        <w:t>in a community setting like a nursing home or long term care facility</w:t>
      </w:r>
      <w:r>
        <w:rPr>
          <w:sz w:val="24"/>
          <w:szCs w:val="24"/>
          <w:rtl w:val="0"/>
          <w:lang w:val="en-US"/>
        </w:rPr>
        <w:t xml:space="preserve"> or a private home. </w:t>
      </w:r>
      <w:r>
        <w:rPr>
          <w:outline w:val="0"/>
          <w:color w:val="009192"/>
          <w:sz w:val="24"/>
          <w:szCs w:val="24"/>
          <w:rtl w:val="0"/>
          <w:lang w:val="en-US"/>
          <w14:textFill>
            <w14:solidFill>
              <w14:srgbClr w14:val="009193"/>
            </w14:solidFill>
          </w14:textFill>
        </w:rPr>
        <w:t>This is an underutilized provision.</w:t>
      </w:r>
    </w:p>
    <w:p>
      <w:pPr>
        <w:pStyle w:val="Body"/>
        <w:numPr>
          <w:ilvl w:val="0"/>
          <w:numId w:val="2"/>
        </w:numPr>
        <w:jc w:val="left"/>
        <w:rPr>
          <w:sz w:val="24"/>
          <w:szCs w:val="24"/>
          <w:lang w:val="en-US"/>
        </w:rPr>
      </w:pPr>
      <w:r>
        <w:rPr>
          <w:sz w:val="24"/>
          <w:szCs w:val="24"/>
          <w:rtl w:val="0"/>
          <w:lang w:val="en-US"/>
        </w:rPr>
        <w:t>Under this policy the patient remains in the custody of the Maine Department of Corrections and can be returned to prison either at the request of the long term care facility or the Department of Corrections.</w:t>
      </w:r>
    </w:p>
    <w:p>
      <w:pPr>
        <w:pStyle w:val="Body"/>
        <w:numPr>
          <w:ilvl w:val="0"/>
          <w:numId w:val="2"/>
        </w:numPr>
        <w:jc w:val="left"/>
        <w:rPr>
          <w:sz w:val="24"/>
          <w:szCs w:val="24"/>
          <w:lang w:val="en-US"/>
        </w:rPr>
      </w:pPr>
      <w:r>
        <w:rPr>
          <w:sz w:val="24"/>
          <w:szCs w:val="24"/>
          <w:rtl w:val="0"/>
          <w:lang w:val="en-US"/>
        </w:rPr>
        <w:t xml:space="preserve">The language in </w:t>
      </w:r>
      <w:r>
        <w:rPr>
          <w:sz w:val="24"/>
          <w:szCs w:val="24"/>
          <w:rtl w:val="0"/>
          <w:lang w:val="en-US"/>
        </w:rPr>
        <w:t>LD 476</w:t>
      </w:r>
      <w:r>
        <w:rPr>
          <w:sz w:val="24"/>
          <w:szCs w:val="24"/>
          <w:rtl w:val="0"/>
          <w:lang w:val="en-US"/>
        </w:rPr>
        <w:t xml:space="preserve"> would u</w:t>
      </w:r>
      <w:r>
        <w:rPr>
          <w:sz w:val="24"/>
          <w:szCs w:val="24"/>
          <w:rtl w:val="0"/>
          <w:lang w:val="en-US"/>
        </w:rPr>
        <w:t>tilize</w:t>
      </w:r>
      <w:r>
        <w:rPr>
          <w:sz w:val="24"/>
          <w:szCs w:val="24"/>
          <w:rtl w:val="0"/>
          <w:lang w:val="en-US"/>
        </w:rPr>
        <w:t xml:space="preserve"> an objective standard used by </w:t>
      </w:r>
      <w:r>
        <w:rPr>
          <w:sz w:val="24"/>
          <w:szCs w:val="24"/>
          <w:rtl w:val="0"/>
          <w:lang w:val="en-US"/>
        </w:rPr>
        <w:t xml:space="preserve">Medicare and </w:t>
      </w:r>
      <w:r>
        <w:rPr>
          <w:sz w:val="24"/>
          <w:szCs w:val="24"/>
          <w:rtl w:val="0"/>
          <w:lang w:val="en-US"/>
        </w:rPr>
        <w:t xml:space="preserve">licensed long term care facilities both in Maine and nationally to determine whether a person qualifies for </w:t>
      </w:r>
      <w:r>
        <w:rPr>
          <w:sz w:val="24"/>
          <w:szCs w:val="24"/>
          <w:rtl w:val="0"/>
          <w:lang w:val="en-US"/>
        </w:rPr>
        <w:t>long term care</w:t>
      </w:r>
      <w:r>
        <w:rPr>
          <w:sz w:val="24"/>
          <w:szCs w:val="24"/>
          <w:rtl w:val="0"/>
        </w:rPr>
        <w:t>.</w:t>
      </w:r>
    </w:p>
    <w:p>
      <w:pPr>
        <w:pStyle w:val="Body"/>
        <w:numPr>
          <w:ilvl w:val="0"/>
          <w:numId w:val="2"/>
        </w:numPr>
        <w:jc w:val="left"/>
        <w:rPr>
          <w:sz w:val="24"/>
          <w:szCs w:val="24"/>
          <w:lang w:val="en-US"/>
        </w:rPr>
      </w:pPr>
      <w:r>
        <w:rPr>
          <w:sz w:val="24"/>
          <w:szCs w:val="24"/>
          <w:rtl w:val="0"/>
          <w:lang w:val="en-US"/>
        </w:rPr>
        <w:t xml:space="preserve">The MDOC facility referred to as the Mountain View Assisted Living Unit, does not meet the community standards for long term care, is not licensed and is in violation of </w:t>
      </w:r>
      <w:r>
        <w:rPr>
          <w:rFonts w:ascii="Times New Roman" w:hAnsi="Times New Roman"/>
          <w:b w:val="1"/>
          <w:bCs w:val="1"/>
          <w:smallCaps w:val="1"/>
          <w:sz w:val="24"/>
          <w:szCs w:val="24"/>
          <w:u w:color="000000"/>
          <w:rtl w:val="0"/>
          <w:lang w:val="en-US"/>
        </w:rPr>
        <w:t>Maine Department of Health and Human</w:t>
      </w:r>
      <w:r>
        <w:rPr>
          <w:rFonts w:ascii="Times New Roman" w:hAnsi="Times New Roman"/>
          <w:b w:val="1"/>
          <w:bCs w:val="1"/>
          <w:smallCaps w:val="1"/>
          <w:sz w:val="24"/>
          <w:szCs w:val="24"/>
          <w:u w:color="000000"/>
          <w:rtl w:val="0"/>
          <w:lang w:val="en-US"/>
        </w:rPr>
        <w:t xml:space="preserve"> </w:t>
      </w:r>
      <w:r>
        <w:rPr>
          <w:rFonts w:ascii="Times New Roman" w:hAnsi="Times New Roman"/>
          <w:b w:val="1"/>
          <w:bCs w:val="1"/>
          <w:smallCaps w:val="1"/>
          <w:sz w:val="24"/>
          <w:szCs w:val="24"/>
          <w:u w:color="000000"/>
          <w:rtl w:val="0"/>
          <w:lang w:val="en-US"/>
        </w:rPr>
        <w:t>Services</w:t>
      </w:r>
      <w:r>
        <w:rPr>
          <w:rFonts w:ascii="Times New Roman" w:hAnsi="Times New Roman"/>
          <w:b w:val="1"/>
          <w:bCs w:val="1"/>
          <w:smallCaps w:val="1"/>
          <w:sz w:val="24"/>
          <w:szCs w:val="24"/>
          <w:u w:color="000000"/>
          <w:rtl w:val="0"/>
          <w:lang w:val="en-US"/>
        </w:rPr>
        <w:t xml:space="preserve"> </w:t>
      </w:r>
      <w:r>
        <w:rPr>
          <w:rFonts w:ascii="Times New Roman" w:hAnsi="Times New Roman"/>
          <w:b w:val="1"/>
          <w:bCs w:val="1"/>
          <w:smallCaps w:val="1"/>
          <w:sz w:val="24"/>
          <w:szCs w:val="24"/>
          <w:u w:color="000000"/>
          <w:rtl w:val="0"/>
          <w:lang w:val="en-US"/>
        </w:rPr>
        <w:t>Division of Licensing and Regulatory Services</w:t>
      </w:r>
      <w:r>
        <w:rPr>
          <w:rFonts w:ascii="Times New Roman" w:hAnsi="Times New Roman"/>
          <w:b w:val="1"/>
          <w:bCs w:val="1"/>
          <w:smallCaps w:val="1"/>
          <w:sz w:val="24"/>
          <w:szCs w:val="24"/>
          <w:u w:color="000000"/>
          <w:rtl w:val="0"/>
          <w:lang w:val="en-US"/>
        </w:rPr>
        <w:t xml:space="preserve"> </w:t>
      </w:r>
      <w:r>
        <w:rPr>
          <w:sz w:val="24"/>
          <w:szCs w:val="24"/>
          <w:u w:color="000000"/>
          <w:rtl w:val="0"/>
          <w:lang w:val="en-US"/>
        </w:rPr>
        <w:t>Regulations Governing the Licensin</w:t>
      </w:r>
      <w:r>
        <w:rPr>
          <w:sz w:val="24"/>
          <w:szCs w:val="24"/>
          <w:u w:color="000000"/>
          <w:rtl w:val="0"/>
          <w:lang w:val="en-US"/>
        </w:rPr>
        <w:t xml:space="preserve">g and </w:t>
      </w:r>
      <w:r>
        <w:rPr>
          <w:rFonts w:ascii="Times New Roman" w:hAnsi="Times New Roman"/>
          <w:b w:val="1"/>
          <w:bCs w:val="1"/>
          <w:smallCaps w:val="1"/>
          <w:sz w:val="24"/>
          <w:szCs w:val="24"/>
          <w:u w:color="000000"/>
          <w:rtl w:val="0"/>
          <w:lang w:val="en-US"/>
        </w:rPr>
        <w:t xml:space="preserve"> </w:t>
      </w:r>
      <w:r>
        <w:rPr>
          <w:smallCaps w:val="1"/>
          <w:sz w:val="24"/>
          <w:szCs w:val="24"/>
          <w:u w:color="000000"/>
          <w:rtl w:val="0"/>
          <w:lang w:val="en-US"/>
        </w:rPr>
        <w:t>Functioning</w:t>
      </w:r>
      <w:r>
        <w:rPr>
          <w:smallCaps w:val="1"/>
          <w:sz w:val="24"/>
          <w:szCs w:val="24"/>
          <w:u w:color="000000"/>
          <w:rtl w:val="0"/>
          <w:lang w:val="en-US"/>
        </w:rPr>
        <w:t xml:space="preserve"> </w:t>
      </w:r>
      <w:r>
        <w:rPr>
          <w:smallCaps w:val="1"/>
          <w:sz w:val="24"/>
          <w:szCs w:val="24"/>
          <w:u w:color="000000"/>
          <w:rtl w:val="0"/>
          <w:lang w:val="en-US"/>
        </w:rPr>
        <w:t>of</w:t>
      </w:r>
      <w:r>
        <w:rPr>
          <w:smallCaps w:val="1"/>
          <w:sz w:val="24"/>
          <w:szCs w:val="24"/>
          <w:u w:color="000000"/>
          <w:rtl w:val="0"/>
          <w:lang w:val="en-US"/>
        </w:rPr>
        <w:t xml:space="preserve"> </w:t>
      </w:r>
      <w:r>
        <w:rPr>
          <w:smallCaps w:val="1"/>
          <w:sz w:val="24"/>
          <w:szCs w:val="24"/>
          <w:u w:color="000000"/>
          <w:rtl w:val="0"/>
          <w:lang w:val="en-US"/>
        </w:rPr>
        <w:t>Assisted Housing Programs:</w:t>
      </w:r>
      <w:r>
        <w:rPr>
          <w:sz w:val="24"/>
          <w:szCs w:val="24"/>
          <w:u w:color="000000"/>
          <w:rtl w:val="0"/>
          <w:lang w:val="en-US"/>
        </w:rPr>
        <w:t>Assisted Living Programs</w:t>
      </w:r>
      <w:r>
        <w:rPr>
          <w:sz w:val="24"/>
          <w:szCs w:val="24"/>
          <w:u w:color="000000"/>
          <w:rtl w:val="0"/>
          <w:lang w:val="en-US"/>
        </w:rPr>
        <w:t xml:space="preserve">, </w:t>
      </w:r>
      <w:r>
        <w:rPr>
          <w:sz w:val="24"/>
          <w:szCs w:val="24"/>
          <w:u w:color="000000"/>
          <w:rtl w:val="0"/>
          <w:lang w:val="en-US"/>
        </w:rPr>
        <w:t>Part of 10-144 Chapter 11</w:t>
      </w:r>
    </w:p>
    <w:p>
      <w:pPr>
        <w:pStyle w:val="Body"/>
        <w:jc w:val="left"/>
        <w:rPr>
          <w:rFonts w:ascii="Times New Roman" w:cs="Times New Roman" w:hAnsi="Times New Roman" w:eastAsia="Times New Roman"/>
          <w:b w:val="1"/>
          <w:bCs w:val="1"/>
          <w:sz w:val="20"/>
          <w:szCs w:val="20"/>
        </w:rPr>
      </w:pPr>
      <w:r>
        <w:rPr>
          <w:sz w:val="24"/>
          <w:szCs w:val="24"/>
          <w:u w:color="000000"/>
          <w:rtl w:val="0"/>
          <w:lang w:val="en-US"/>
        </w:rPr>
        <w:t xml:space="preserve">            </w:t>
      </w:r>
      <w:r>
        <w:rPr>
          <w:rFonts w:ascii="Times New Roman" w:hAnsi="Times New Roman"/>
          <w:b w:val="1"/>
          <w:bCs w:val="1"/>
          <w:sz w:val="20"/>
          <w:szCs w:val="20"/>
          <w:rtl w:val="0"/>
        </w:rPr>
        <w:t>4.11</w:t>
      </w:r>
      <w:r>
        <w:rPr>
          <w:sz w:val="20"/>
          <w:szCs w:val="20"/>
        </w:rPr>
        <w:tab/>
      </w:r>
      <w:r>
        <w:rPr>
          <w:rFonts w:ascii="Times New Roman" w:hAnsi="Times New Roman"/>
          <w:b w:val="1"/>
          <w:bCs w:val="1"/>
          <w:sz w:val="20"/>
          <w:szCs w:val="20"/>
          <w:rtl w:val="0"/>
          <w:lang w:val="en-US"/>
        </w:rPr>
        <w:t>Operating without a license</w:t>
      </w:r>
    </w:p>
    <w:p>
      <w:pPr>
        <w:pStyle w:val="Body"/>
        <w:bidi w:val="0"/>
        <w:ind w:left="0" w:right="0" w:firstLine="0"/>
        <w:jc w:val="left"/>
        <w:rPr>
          <w:rFonts w:ascii="Times New Roman" w:cs="Times New Roman" w:hAnsi="Times New Roman" w:eastAsia="Times New Roman"/>
          <w:b w:val="1"/>
          <w:bCs w:val="1"/>
          <w:sz w:val="20"/>
          <w:szCs w:val="20"/>
          <w:u w:color="000000"/>
          <w:rtl w:val="0"/>
          <w:lang w:val="en-US"/>
        </w:rPr>
      </w:pPr>
    </w:p>
    <w:p>
      <w:pPr>
        <w:pStyle w:val="Body"/>
        <w:tabs>
          <w:tab w:val="left" w:pos="1710"/>
        </w:tabs>
        <w:bidi w:val="0"/>
        <w:ind w:left="1710" w:right="0" w:hanging="962"/>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r>
        <w:rPr>
          <w:rFonts w:ascii="Times New Roman" w:hAnsi="Times New Roman"/>
          <w:b w:val="1"/>
          <w:bCs w:val="1"/>
          <w:outline w:val="0"/>
          <w:color w:val="000000"/>
          <w:sz w:val="20"/>
          <w:szCs w:val="20"/>
          <w:u w:color="000000"/>
          <w:rtl w:val="0"/>
          <w:lang w:val="en-US"/>
          <w14:textFill>
            <w14:solidFill>
              <w14:srgbClr w14:val="000000"/>
            </w14:solidFill>
          </w14:textFill>
        </w:rPr>
        <w:t>4.11.1</w:t>
      </w:r>
      <w:r>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tab/>
      </w:r>
      <w:r>
        <w:rPr>
          <w:rFonts w:ascii="Times New Roman" w:hAnsi="Times New Roman"/>
          <w:b w:val="1"/>
          <w:bCs w:val="1"/>
          <w:outline w:val="0"/>
          <w:color w:val="000000"/>
          <w:sz w:val="20"/>
          <w:szCs w:val="20"/>
          <w:u w:color="000000"/>
          <w:rtl w:val="0"/>
          <w:lang w:val="en-US"/>
          <w14:textFill>
            <w14:solidFill>
              <w14:srgbClr w14:val="000000"/>
            </w14:solidFill>
          </w14:textFill>
        </w:rPr>
        <w:t xml:space="preserve">License required. </w:t>
      </w:r>
      <w:r>
        <w:rPr>
          <w:rFonts w:ascii="Times New Roman" w:hAnsi="Times New Roman"/>
          <w:outline w:val="0"/>
          <w:color w:val="000000"/>
          <w:sz w:val="20"/>
          <w:szCs w:val="20"/>
          <w:u w:color="000000"/>
          <w:rtl w:val="0"/>
          <w:lang w:val="en-US"/>
          <w14:textFill>
            <w14:solidFill>
              <w14:srgbClr w14:val="000000"/>
            </w14:solidFill>
          </w14:textFill>
        </w:rPr>
        <w:t>A person, firm, partnership, association, corporation or other entity may not, without first obtaining a license, manage or operate an assisted living program</w:t>
      </w:r>
    </w:p>
    <w:p>
      <w:pPr>
        <w:pStyle w:val="Body"/>
        <w:tabs>
          <w:tab w:val="left" w:pos="1710"/>
        </w:tabs>
        <w:bidi w:val="0"/>
        <w:ind w:left="1710" w:right="288" w:hanging="990"/>
        <w:jc w:val="left"/>
        <w:rPr>
          <w:rFonts w:ascii="Times New Roman" w:cs="Times New Roman" w:hAnsi="Times New Roman" w:eastAsia="Times New Roman"/>
          <w:sz w:val="20"/>
          <w:szCs w:val="20"/>
          <w:u w:color="000000"/>
          <w:rtl w:val="0"/>
          <w:lang w:val="en-US"/>
        </w:rPr>
      </w:pPr>
      <w:r>
        <w:rPr>
          <w:rFonts w:ascii="Times New Roman" w:hAnsi="Times New Roman"/>
          <w:b w:val="1"/>
          <w:bCs w:val="1"/>
          <w:sz w:val="20"/>
          <w:szCs w:val="20"/>
          <w:u w:color="000000"/>
          <w:rtl w:val="0"/>
          <w:lang w:val="en-US"/>
        </w:rPr>
        <w:t>4.11.2</w:t>
      </w:r>
      <w:r>
        <w:rPr>
          <w:rFonts w:ascii="Times New Roman" w:cs="Times New Roman" w:hAnsi="Times New Roman" w:eastAsia="Times New Roman"/>
          <w:sz w:val="20"/>
          <w:szCs w:val="20"/>
          <w:u w:color="000000"/>
          <w:rtl w:val="0"/>
          <w:lang w:val="en-US"/>
        </w:rPr>
        <w:tab/>
      </w:r>
      <w:r>
        <w:rPr>
          <w:rFonts w:ascii="Times New Roman" w:hAnsi="Times New Roman"/>
          <w:b w:val="1"/>
          <w:bCs w:val="1"/>
          <w:sz w:val="20"/>
          <w:szCs w:val="20"/>
          <w:u w:color="000000"/>
          <w:rtl w:val="0"/>
          <w:lang w:val="en-US"/>
        </w:rPr>
        <w:t>Civil penalty for operating without a license.</w:t>
      </w:r>
      <w:r>
        <w:rPr>
          <w:rFonts w:ascii="Times New Roman" w:hAnsi="Times New Roman"/>
          <w:sz w:val="20"/>
          <w:szCs w:val="20"/>
          <w:u w:color="000000"/>
          <w:rtl w:val="0"/>
          <w:lang w:val="en-US"/>
        </w:rPr>
        <w:t xml:space="preserve"> A person, firm, partnership, association, corporation or other entity who operates an assisted living program without a license commits a civil violation and is subject to a civil penalty of </w:t>
      </w:r>
      <w:r>
        <w:rPr>
          <w:rFonts w:ascii="Times New Roman" w:hAnsi="Times New Roman"/>
          <w:sz w:val="20"/>
          <w:szCs w:val="20"/>
          <w:u w:color="000000"/>
          <w:shd w:val="clear" w:color="auto" w:fill="fefc78"/>
          <w:rtl w:val="0"/>
          <w:lang w:val="en-US"/>
        </w:rPr>
        <w:t>not less than $500 nor more than $10,000 per day.  Each day of violation constitutes a separate offense</w:t>
      </w:r>
      <w:r>
        <w:rPr>
          <w:rFonts w:ascii="Times New Roman" w:hAnsi="Times New Roman"/>
          <w:sz w:val="20"/>
          <w:szCs w:val="20"/>
          <w:u w:color="000000"/>
          <w:rtl w:val="0"/>
          <w:lang w:val="en-US"/>
        </w:rPr>
        <w:t>.</w:t>
      </w:r>
    </w:p>
    <w:p>
      <w:pPr>
        <w:pStyle w:val="Body"/>
        <w:bidi w:val="0"/>
        <w:ind w:left="1710" w:right="288" w:hanging="990"/>
        <w:jc w:val="left"/>
        <w:rPr>
          <w:rFonts w:ascii="Helvetica Neue" w:cs="Helvetica Neue" w:hAnsi="Helvetica Neue" w:eastAsia="Helvetica Neue"/>
          <w:b w:val="1"/>
          <w:bCs w:val="1"/>
          <w:sz w:val="20"/>
          <w:szCs w:val="20"/>
          <w:u w:color="000000"/>
          <w:rtl w:val="0"/>
          <w:lang w:val="en-US"/>
        </w:rPr>
      </w:pPr>
    </w:p>
    <w:p>
      <w:pPr>
        <w:pStyle w:val="Body"/>
        <w:jc w:val="left"/>
        <w:rPr>
          <w:sz w:val="24"/>
          <w:szCs w:val="24"/>
          <w:u w:color="000000"/>
        </w:rPr>
      </w:pPr>
    </w:p>
    <w:p>
      <w:pPr>
        <w:pStyle w:val="Body"/>
        <w:numPr>
          <w:ilvl w:val="0"/>
          <w:numId w:val="2"/>
        </w:numPr>
        <w:jc w:val="left"/>
        <w:rPr>
          <w:sz w:val="24"/>
          <w:szCs w:val="24"/>
          <w:lang w:val="en-US"/>
        </w:rPr>
      </w:pPr>
      <w:r>
        <w:rPr>
          <w:sz w:val="24"/>
          <w:szCs w:val="24"/>
          <w:u w:color="000000"/>
          <w:rtl w:val="0"/>
          <w:lang w:val="en-US"/>
        </w:rPr>
        <w:t>Nursing home care is covered by MaineCare. Care in a MDOC facility is not covered by MaineCare. See paragraph below</w:t>
      </w:r>
      <w:r>
        <w:rPr>
          <w:sz w:val="24"/>
          <w:szCs w:val="24"/>
          <w:u w:color="000000"/>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195785</wp:posOffset>
            </wp:positionV>
            <wp:extent cx="5943600" cy="1825594"/>
            <wp:effectExtent l="0" t="0" r="0" b="0"/>
            <wp:wrapThrough wrapText="bothSides" distL="152400" distR="152400">
              <wp:wrapPolygon edited="1">
                <wp:start x="0" y="0"/>
                <wp:lineTo x="21600" y="0"/>
                <wp:lineTo x="21600" y="21633"/>
                <wp:lineTo x="0" y="21633"/>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ineCare, Incarceration, and Compassionate Community Confinement.png"/>
                    <pic:cNvPicPr>
                      <a:picLocks noChangeAspect="1"/>
                    </pic:cNvPicPr>
                  </pic:nvPicPr>
                  <pic:blipFill>
                    <a:blip r:embed="rId4">
                      <a:extLst/>
                    </a:blip>
                    <a:stretch>
                      <a:fillRect/>
                    </a:stretch>
                  </pic:blipFill>
                  <pic:spPr>
                    <a:xfrm>
                      <a:off x="0" y="0"/>
                      <a:ext cx="5943600" cy="1825594"/>
                    </a:xfrm>
                    <a:prstGeom prst="rect">
                      <a:avLst/>
                    </a:prstGeom>
                    <a:ln w="12700" cap="flat">
                      <a:noFill/>
                      <a:miter lim="400000"/>
                    </a:ln>
                    <a:effectLst/>
                  </pic:spPr>
                </pic:pic>
              </a:graphicData>
            </a:graphic>
          </wp:anchor>
        </w:drawing>
      </w:r>
    </w:p>
    <w:p>
      <w:pPr>
        <w:pStyle w:val="Body"/>
        <w:numPr>
          <w:ilvl w:val="0"/>
          <w:numId w:val="2"/>
        </w:numPr>
        <w:jc w:val="left"/>
        <w:rPr>
          <w:sz w:val="24"/>
          <w:szCs w:val="24"/>
          <w:lang w:val="en-US"/>
        </w:rPr>
      </w:pPr>
      <w:r>
        <w:rPr>
          <w:sz w:val="24"/>
          <w:szCs w:val="24"/>
          <w:u w:color="000000"/>
          <w:rtl w:val="0"/>
          <w:lang w:val="en-US"/>
        </w:rPr>
        <w:t>Fully utilizing MDOC policy 27.2 Procedure I  would not only save the department hundreds of thousands of dollars in transport and medical costs, it would also conserve much needed staffing hours. Whenever someone is transported for a medical appointment two corrections officers must accompany the patient.</w:t>
      </w:r>
    </w:p>
    <w:p>
      <w:pPr>
        <w:pStyle w:val="Body"/>
        <w:jc w:val="left"/>
        <w:rPr>
          <w:sz w:val="24"/>
          <w:szCs w:val="24"/>
          <w:u w:color="000000"/>
        </w:rPr>
      </w:pPr>
    </w:p>
    <w:p>
      <w:pPr>
        <w:pStyle w:val="Body"/>
        <w:numPr>
          <w:ilvl w:val="0"/>
          <w:numId w:val="2"/>
        </w:numPr>
        <w:jc w:val="left"/>
        <w:rPr>
          <w:sz w:val="24"/>
          <w:szCs w:val="24"/>
          <w:lang w:val="en-US"/>
        </w:rPr>
      </w:pPr>
      <w:r>
        <w:rPr>
          <w:sz w:val="24"/>
          <w:szCs w:val="24"/>
          <w:u w:color="000000"/>
          <w:rtl w:val="0"/>
          <w:lang w:val="en-US"/>
        </w:rPr>
        <w:t>By not meeting the community standards of medical care for those who, by objective criteria, should be receiving nursing care the department is opening itself up to legal action.</w:t>
      </w:r>
    </w:p>
    <w:p>
      <w:pPr>
        <w:pStyle w:val="Body"/>
        <w:jc w:val="left"/>
        <w:rPr>
          <w:sz w:val="24"/>
          <w:szCs w:val="24"/>
          <w:u w:color="000000"/>
        </w:rPr>
      </w:pPr>
    </w:p>
    <w:p>
      <w:pPr>
        <w:pStyle w:val="Body"/>
        <w:jc w:val="left"/>
        <w:rPr>
          <w:outline w:val="0"/>
          <w:color w:val="000000"/>
          <w:sz w:val="20"/>
          <w:szCs w:val="20"/>
          <w:u w:color="000000"/>
          <w14:textFill>
            <w14:solidFill>
              <w14:srgbClr w14:val="000000"/>
            </w14:solidFill>
          </w14:textFill>
        </w:rPr>
      </w:pPr>
      <w:r>
        <w:rPr>
          <w:sz w:val="24"/>
          <w:szCs w:val="24"/>
          <w:u w:color="000000"/>
          <w:rtl w:val="0"/>
          <w:lang w:val="en-US"/>
        </w:rPr>
        <w:t>10. It is the right thing to do. No one should die alone.</w:t>
      </w:r>
    </w:p>
    <w:p>
      <w:pPr>
        <w:pStyle w:val="Body"/>
        <w:tabs>
          <w:tab w:val="left" w:pos="1710"/>
        </w:tabs>
        <w:bidi w:val="0"/>
        <w:ind w:left="1710" w:right="0" w:hanging="962"/>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p>
    <w:p>
      <w:pPr>
        <w:pStyle w:val="Body"/>
        <w:tabs>
          <w:tab w:val="left" w:pos="1710"/>
        </w:tabs>
        <w:bidi w:val="0"/>
        <w:ind w:left="1710" w:right="0" w:hanging="962"/>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p>
    <w:p>
      <w:pPr>
        <w:pStyle w:val="Body"/>
        <w:tabs>
          <w:tab w:val="left" w:pos="1710"/>
        </w:tabs>
        <w:bidi w:val="0"/>
        <w:ind w:left="1710" w:right="0" w:hanging="962"/>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p>
    <w:p>
      <w:pPr>
        <w:pStyle w:val="Body"/>
        <w:tabs>
          <w:tab w:val="left" w:pos="1710"/>
        </w:tabs>
        <w:bidi w:val="0"/>
        <w:ind w:left="1710" w:right="0" w:hanging="962"/>
        <w:jc w:val="left"/>
        <w:rPr>
          <w:rFonts w:ascii="Helvetica Neue" w:cs="Helvetica Neue" w:hAnsi="Helvetica Neue" w:eastAsia="Helvetica Neue"/>
          <w:sz w:val="24"/>
          <w:szCs w:val="24"/>
          <w:u w:color="000000"/>
          <w:rtl w:val="0"/>
          <w:lang w:val="en-US"/>
        </w:rPr>
      </w:pPr>
      <w:r>
        <w:rPr>
          <w:rFonts w:ascii="Helvetica Neue" w:hAnsi="Helvetica Neue"/>
          <w:sz w:val="24"/>
          <w:szCs w:val="24"/>
          <w:u w:color="000000"/>
          <w:rtl w:val="0"/>
          <w:lang w:val="en-US"/>
        </w:rPr>
        <w:t xml:space="preserve">                </w:t>
      </w:r>
    </w:p>
    <w:p>
      <w:pPr>
        <w:pStyle w:val="Body"/>
        <w:jc w:val="left"/>
      </w:pPr>
      <w:r>
        <w:rPr>
          <w:sz w:val="24"/>
          <w:szCs w:val="24"/>
          <w:u w:color="00000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